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C5E0C" w14:textId="64858393" w:rsidR="00C13733" w:rsidRDefault="00C13733" w:rsidP="00BF1471">
      <w:pPr>
        <w:pStyle w:val="Nagwek2"/>
        <w:rPr>
          <w:lang w:val="en-GB"/>
        </w:rPr>
      </w:pPr>
      <w:r>
        <w:rPr>
          <w:noProof/>
        </w:rPr>
        <w:drawing>
          <wp:inline distT="0" distB="0" distL="0" distR="0" wp14:anchorId="7D8AC579" wp14:editId="462FE2B1">
            <wp:extent cx="1771650" cy="10223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022350"/>
                    </a:xfrm>
                    <a:prstGeom prst="rect">
                      <a:avLst/>
                    </a:prstGeom>
                    <a:noFill/>
                    <a:ln>
                      <a:noFill/>
                    </a:ln>
                  </pic:spPr>
                </pic:pic>
              </a:graphicData>
            </a:graphic>
          </wp:inline>
        </w:drawing>
      </w:r>
    </w:p>
    <w:p w14:paraId="711592C3" w14:textId="77777777" w:rsidR="00C13733" w:rsidRPr="00C13733" w:rsidRDefault="00C13733" w:rsidP="00C13733">
      <w:pPr>
        <w:rPr>
          <w:lang w:val="en-GB"/>
        </w:rPr>
      </w:pPr>
      <w:bookmarkStart w:id="0" w:name="_GoBack"/>
      <w:bookmarkEnd w:id="0"/>
    </w:p>
    <w:p w14:paraId="2081AED0" w14:textId="7BD79502" w:rsidR="00E10E61" w:rsidRPr="00A245E7" w:rsidRDefault="00E10E61" w:rsidP="00BF1471">
      <w:pPr>
        <w:pStyle w:val="Nagwek2"/>
        <w:rPr>
          <w:lang w:val="en-GB"/>
        </w:rPr>
      </w:pPr>
      <w:r w:rsidRPr="00A245E7">
        <w:rPr>
          <w:lang w:val="en-GB"/>
        </w:rPr>
        <w:t>IAOS Statutes June 2025 Member Consultation</w:t>
      </w:r>
      <w:r w:rsidR="00AA1AAC">
        <w:rPr>
          <w:lang w:val="en-GB"/>
        </w:rPr>
        <w:t xml:space="preserve"> - closing 19 July 2025</w:t>
      </w:r>
    </w:p>
    <w:p w14:paraId="2970BD85" w14:textId="30FDAABC" w:rsidR="00E10E61" w:rsidRPr="00A245E7" w:rsidRDefault="00E10E61" w:rsidP="00A245E7">
      <w:pPr>
        <w:rPr>
          <w:sz w:val="22"/>
          <w:szCs w:val="22"/>
        </w:rPr>
      </w:pPr>
      <w:r w:rsidRPr="00A245E7">
        <w:rPr>
          <w:sz w:val="22"/>
          <w:szCs w:val="22"/>
        </w:rPr>
        <w:t xml:space="preserve">In </w:t>
      </w:r>
      <w:r w:rsidR="00A245E7" w:rsidRPr="00A245E7">
        <w:rPr>
          <w:sz w:val="22"/>
          <w:szCs w:val="22"/>
        </w:rPr>
        <w:t>May</w:t>
      </w:r>
      <w:r w:rsidRPr="00A245E7">
        <w:rPr>
          <w:sz w:val="22"/>
          <w:szCs w:val="22"/>
        </w:rPr>
        <w:t xml:space="preserve"> 2024, the IAOS Executive Committee </w:t>
      </w:r>
      <w:r w:rsidR="00A245E7" w:rsidRPr="00A245E7">
        <w:rPr>
          <w:sz w:val="22"/>
          <w:szCs w:val="22"/>
        </w:rPr>
        <w:t xml:space="preserve">launched member consultation on the proposed new </w:t>
      </w:r>
      <w:r w:rsidRPr="00A245E7">
        <w:rPr>
          <w:sz w:val="22"/>
          <w:szCs w:val="22"/>
        </w:rPr>
        <w:t xml:space="preserve">IAOS Statutes. As that consultation document noted, </w:t>
      </w:r>
      <w:r w:rsidR="00A245E7" w:rsidRPr="00A245E7">
        <w:rPr>
          <w:sz w:val="22"/>
          <w:szCs w:val="22"/>
        </w:rPr>
        <w:t>t</w:t>
      </w:r>
      <w:r w:rsidRPr="00A245E7">
        <w:rPr>
          <w:sz w:val="22"/>
          <w:szCs w:val="22"/>
        </w:rPr>
        <w:t>he major drivers for changing the statutes were</w:t>
      </w:r>
    </w:p>
    <w:p w14:paraId="65235BA6" w14:textId="36C618BA" w:rsidR="00E10E61" w:rsidRPr="00A245E7" w:rsidRDefault="00E10E61" w:rsidP="00E10E61">
      <w:pPr>
        <w:numPr>
          <w:ilvl w:val="0"/>
          <w:numId w:val="1"/>
        </w:numPr>
        <w:spacing w:after="0" w:line="240" w:lineRule="auto"/>
        <w:rPr>
          <w:sz w:val="22"/>
          <w:szCs w:val="22"/>
        </w:rPr>
      </w:pPr>
      <w:r w:rsidRPr="00A245E7">
        <w:rPr>
          <w:sz w:val="22"/>
          <w:szCs w:val="22"/>
        </w:rPr>
        <w:t xml:space="preserve">Implementation of the </w:t>
      </w:r>
      <w:r w:rsidRPr="00A245E7">
        <w:rPr>
          <w:color w:val="313131"/>
          <w:sz w:val="22"/>
          <w:szCs w:val="22"/>
        </w:rPr>
        <w:t>Act on Management and Supervision of Legal Entities (</w:t>
      </w:r>
      <w:r w:rsidRPr="00A245E7">
        <w:rPr>
          <w:sz w:val="22"/>
          <w:szCs w:val="22"/>
        </w:rPr>
        <w:t xml:space="preserve">MSLE) Act in the Netherlands, which has meant that all legal entities need to review their legal arrangements, specifically those related to governance and management. </w:t>
      </w:r>
      <w:r w:rsidR="00BF1471">
        <w:rPr>
          <w:sz w:val="22"/>
          <w:szCs w:val="22"/>
        </w:rPr>
        <w:t xml:space="preserve"> </w:t>
      </w:r>
    </w:p>
    <w:p w14:paraId="187FE253" w14:textId="795455FF" w:rsidR="00E10E61" w:rsidRPr="00A245E7" w:rsidRDefault="00E10E61" w:rsidP="00E10E61">
      <w:pPr>
        <w:numPr>
          <w:ilvl w:val="0"/>
          <w:numId w:val="1"/>
        </w:numPr>
        <w:spacing w:after="200" w:line="276" w:lineRule="auto"/>
        <w:rPr>
          <w:sz w:val="22"/>
          <w:szCs w:val="22"/>
        </w:rPr>
      </w:pPr>
      <w:r w:rsidRPr="00A245E7">
        <w:rPr>
          <w:sz w:val="22"/>
          <w:szCs w:val="22"/>
        </w:rPr>
        <w:t>Changes in working procedures, including establishment of sub-groups such as the Krakow Group, and evolutions in the composition of the EXCO membership.</w:t>
      </w:r>
    </w:p>
    <w:p w14:paraId="7E8C1EC1" w14:textId="1D494FF1" w:rsidR="00A245E7" w:rsidRPr="00A245E7" w:rsidRDefault="00A245E7" w:rsidP="00E10E61">
      <w:pPr>
        <w:spacing w:after="200" w:line="276" w:lineRule="auto"/>
        <w:rPr>
          <w:sz w:val="22"/>
          <w:szCs w:val="22"/>
        </w:rPr>
      </w:pPr>
      <w:r w:rsidRPr="00A245E7">
        <w:rPr>
          <w:sz w:val="22"/>
          <w:szCs w:val="22"/>
        </w:rPr>
        <w:t>The key changes in</w:t>
      </w:r>
      <w:r>
        <w:rPr>
          <w:sz w:val="22"/>
          <w:szCs w:val="22"/>
        </w:rPr>
        <w:t xml:space="preserve"> the </w:t>
      </w:r>
      <w:r w:rsidRPr="00A245E7">
        <w:rPr>
          <w:sz w:val="22"/>
          <w:szCs w:val="22"/>
        </w:rPr>
        <w:t xml:space="preserve"> May 2024 </w:t>
      </w:r>
      <w:r>
        <w:rPr>
          <w:sz w:val="22"/>
          <w:szCs w:val="22"/>
        </w:rPr>
        <w:t xml:space="preserve">version of the statutes </w:t>
      </w:r>
      <w:r w:rsidRPr="00A245E7">
        <w:rPr>
          <w:sz w:val="22"/>
          <w:szCs w:val="22"/>
        </w:rPr>
        <w:t>were:</w:t>
      </w:r>
    </w:p>
    <w:p w14:paraId="4585C11C" w14:textId="77777777" w:rsidR="00A245E7" w:rsidRDefault="00A245E7" w:rsidP="00A245E7">
      <w:pPr>
        <w:pStyle w:val="Akapitzlist"/>
        <w:numPr>
          <w:ilvl w:val="0"/>
          <w:numId w:val="2"/>
        </w:numPr>
        <w:spacing w:after="0" w:line="240" w:lineRule="auto"/>
        <w:rPr>
          <w:sz w:val="22"/>
          <w:szCs w:val="22"/>
        </w:rPr>
      </w:pPr>
      <w:r w:rsidRPr="00A245E7">
        <w:rPr>
          <w:sz w:val="22"/>
          <w:szCs w:val="22"/>
        </w:rPr>
        <w:t>Changes to the terms used for organisational/institutions and their definitions – Statute 3</w:t>
      </w:r>
    </w:p>
    <w:p w14:paraId="59758988" w14:textId="77777777" w:rsidR="002034F0" w:rsidRPr="00A245E7" w:rsidRDefault="002034F0" w:rsidP="002034F0">
      <w:pPr>
        <w:pStyle w:val="Akapitzlist"/>
        <w:numPr>
          <w:ilvl w:val="0"/>
          <w:numId w:val="2"/>
        </w:numPr>
        <w:spacing w:after="0" w:line="240" w:lineRule="auto"/>
        <w:rPr>
          <w:sz w:val="22"/>
          <w:szCs w:val="22"/>
        </w:rPr>
      </w:pPr>
      <w:r w:rsidRPr="00A245E7">
        <w:rPr>
          <w:sz w:val="22"/>
          <w:szCs w:val="22"/>
        </w:rPr>
        <w:t>Changes to statutes related to membership of the IAOS, to simplify and standardise the different types of IAOS members (individual and organisational/ institutional) - Statute 3</w:t>
      </w:r>
    </w:p>
    <w:p w14:paraId="0EAF6977" w14:textId="77777777" w:rsidR="002034F0" w:rsidRPr="00A245E7" w:rsidRDefault="002034F0" w:rsidP="002034F0">
      <w:pPr>
        <w:pStyle w:val="Akapitzlist"/>
        <w:numPr>
          <w:ilvl w:val="0"/>
          <w:numId w:val="2"/>
        </w:numPr>
        <w:spacing w:after="0" w:line="240" w:lineRule="auto"/>
        <w:rPr>
          <w:sz w:val="22"/>
          <w:szCs w:val="22"/>
        </w:rPr>
      </w:pPr>
      <w:r w:rsidRPr="00A245E7">
        <w:rPr>
          <w:sz w:val="22"/>
          <w:szCs w:val="22"/>
        </w:rPr>
        <w:t>Introduction of a new statute setting out the relationship between the ISI and the IAOS  - Statute 5</w:t>
      </w:r>
    </w:p>
    <w:p w14:paraId="13F2E3E7" w14:textId="77777777" w:rsidR="002034F0" w:rsidRPr="00A245E7" w:rsidRDefault="002034F0" w:rsidP="002034F0">
      <w:pPr>
        <w:pStyle w:val="Akapitzlist"/>
        <w:numPr>
          <w:ilvl w:val="0"/>
          <w:numId w:val="2"/>
        </w:numPr>
        <w:spacing w:after="0" w:line="240" w:lineRule="auto"/>
        <w:rPr>
          <w:sz w:val="22"/>
          <w:szCs w:val="22"/>
        </w:rPr>
      </w:pPr>
      <w:r w:rsidRPr="00A245E7">
        <w:rPr>
          <w:sz w:val="22"/>
          <w:szCs w:val="22"/>
        </w:rPr>
        <w:t>Changes to the statutes related to the General Assembly, giving the General Assembly held during non-WSC years, the power to change statutes – Statute 6</w:t>
      </w:r>
    </w:p>
    <w:p w14:paraId="374E2F9B" w14:textId="77777777" w:rsidR="00A245E7" w:rsidRDefault="00A245E7" w:rsidP="00A245E7">
      <w:pPr>
        <w:pStyle w:val="Akapitzlist"/>
        <w:numPr>
          <w:ilvl w:val="0"/>
          <w:numId w:val="2"/>
        </w:numPr>
        <w:spacing w:after="0" w:line="240" w:lineRule="auto"/>
        <w:rPr>
          <w:sz w:val="22"/>
          <w:szCs w:val="22"/>
        </w:rPr>
      </w:pPr>
      <w:r w:rsidRPr="00A245E7">
        <w:rPr>
          <w:sz w:val="22"/>
          <w:szCs w:val="22"/>
        </w:rPr>
        <w:t>Changes to the statutes related to the Executive Committee (EXCO) in light of the MSLE and the implementation of the Code of Conduct, along with evolution in the composition of the EXCO. - Statute 7</w:t>
      </w:r>
    </w:p>
    <w:p w14:paraId="5AE7FA67" w14:textId="3A194ABB" w:rsidR="002034F0" w:rsidRPr="002034F0" w:rsidRDefault="002034F0" w:rsidP="00A245E7">
      <w:pPr>
        <w:pStyle w:val="Akapitzlist"/>
        <w:numPr>
          <w:ilvl w:val="0"/>
          <w:numId w:val="2"/>
        </w:numPr>
        <w:spacing w:after="0" w:line="240" w:lineRule="auto"/>
        <w:rPr>
          <w:sz w:val="22"/>
          <w:szCs w:val="22"/>
        </w:rPr>
      </w:pPr>
      <w:r w:rsidRPr="002034F0">
        <w:rPr>
          <w:sz w:val="22"/>
          <w:szCs w:val="22"/>
        </w:rPr>
        <w:t>Introduction of a new statute covering the establishment, reporting and dissolution of IAOS sub-groups – Statute 9</w:t>
      </w:r>
    </w:p>
    <w:p w14:paraId="06EB5D9D" w14:textId="77777777" w:rsidR="00A245E7" w:rsidRPr="00A245E7" w:rsidRDefault="00A245E7" w:rsidP="00A245E7">
      <w:pPr>
        <w:pStyle w:val="Akapitzlist"/>
        <w:numPr>
          <w:ilvl w:val="0"/>
          <w:numId w:val="2"/>
        </w:numPr>
        <w:spacing w:after="0" w:line="240" w:lineRule="auto"/>
        <w:rPr>
          <w:sz w:val="22"/>
          <w:szCs w:val="22"/>
        </w:rPr>
      </w:pPr>
      <w:r w:rsidRPr="00A245E7">
        <w:rPr>
          <w:sz w:val="22"/>
          <w:szCs w:val="22"/>
        </w:rPr>
        <w:t xml:space="preserve">Introduction of standard definitions of key terms </w:t>
      </w:r>
    </w:p>
    <w:p w14:paraId="548E6F1A" w14:textId="77777777" w:rsidR="00EB1DC0" w:rsidRDefault="00EB1DC0" w:rsidP="00E10E61">
      <w:pPr>
        <w:spacing w:after="200" w:line="276" w:lineRule="auto"/>
        <w:rPr>
          <w:sz w:val="22"/>
          <w:szCs w:val="22"/>
        </w:rPr>
      </w:pPr>
    </w:p>
    <w:p w14:paraId="08110EBB" w14:textId="44177FCB" w:rsidR="00E10E61" w:rsidRPr="00A245E7" w:rsidRDefault="00E10E61" w:rsidP="00E10E61">
      <w:pPr>
        <w:spacing w:after="200" w:line="276" w:lineRule="auto"/>
        <w:rPr>
          <w:sz w:val="22"/>
          <w:szCs w:val="22"/>
        </w:rPr>
      </w:pPr>
      <w:r w:rsidRPr="00A245E7">
        <w:rPr>
          <w:sz w:val="22"/>
          <w:szCs w:val="22"/>
        </w:rPr>
        <w:t>Member feedback was positive, with the main concern being the use of the term “section” to describe the legal status of Associations.  It was agreed that given only the ISI is registered under Dutch law, this term was acceptable.</w:t>
      </w:r>
    </w:p>
    <w:p w14:paraId="06570995" w14:textId="7B16DDA3" w:rsidR="00A245E7" w:rsidRPr="00A245E7" w:rsidRDefault="00E10E61" w:rsidP="00E10E61">
      <w:pPr>
        <w:spacing w:after="200" w:line="276" w:lineRule="auto"/>
        <w:rPr>
          <w:sz w:val="22"/>
          <w:szCs w:val="22"/>
        </w:rPr>
      </w:pPr>
      <w:r w:rsidRPr="00A245E7">
        <w:rPr>
          <w:sz w:val="22"/>
          <w:szCs w:val="22"/>
        </w:rPr>
        <w:t>In early 2025, the ISI also commenced a major review of the ISI Statutes and By-laws.</w:t>
      </w:r>
      <w:r w:rsidR="00A245E7" w:rsidRPr="00A245E7">
        <w:rPr>
          <w:sz w:val="22"/>
          <w:szCs w:val="22"/>
        </w:rPr>
        <w:t xml:space="preserve">  </w:t>
      </w:r>
    </w:p>
    <w:p w14:paraId="71AE8CD1" w14:textId="63869ABB" w:rsidR="00E10E61" w:rsidRPr="00A245E7" w:rsidRDefault="00A245E7" w:rsidP="00E10E61">
      <w:pPr>
        <w:spacing w:after="200" w:line="276" w:lineRule="auto"/>
        <w:rPr>
          <w:sz w:val="22"/>
          <w:szCs w:val="22"/>
        </w:rPr>
      </w:pPr>
      <w:r w:rsidRPr="00A245E7">
        <w:rPr>
          <w:sz w:val="22"/>
          <w:szCs w:val="22"/>
        </w:rPr>
        <w:t xml:space="preserve">The review of the ISI statutes has helped further clarify some of the wider implications of the introduction of the MSLE, including the need to </w:t>
      </w:r>
      <w:r>
        <w:rPr>
          <w:sz w:val="22"/>
          <w:szCs w:val="22"/>
        </w:rPr>
        <w:t xml:space="preserve">clarify the responsibilities of Executive Committee members.  In addition, the review has also </w:t>
      </w:r>
      <w:r w:rsidR="00E10E61" w:rsidRPr="00A245E7">
        <w:rPr>
          <w:sz w:val="22"/>
          <w:szCs w:val="22"/>
        </w:rPr>
        <w:t>contributed to some further changes to the terminology in the proposed new IAOS statutes.</w:t>
      </w:r>
    </w:p>
    <w:p w14:paraId="481A3481" w14:textId="79110528" w:rsidR="00E10E61" w:rsidRPr="00A245E7" w:rsidRDefault="00E10E61" w:rsidP="00E10E61">
      <w:pPr>
        <w:rPr>
          <w:b/>
          <w:bCs/>
          <w:sz w:val="22"/>
          <w:szCs w:val="22"/>
          <w:lang w:val="en-GB"/>
        </w:rPr>
      </w:pPr>
      <w:r w:rsidRPr="00A245E7">
        <w:rPr>
          <w:b/>
          <w:bCs/>
          <w:sz w:val="22"/>
          <w:szCs w:val="22"/>
          <w:lang w:val="en-GB"/>
        </w:rPr>
        <w:t>July 2025 Member Consultation</w:t>
      </w:r>
    </w:p>
    <w:p w14:paraId="1B94FF46" w14:textId="1DBC85C6" w:rsidR="00E10E61" w:rsidRPr="00A245E7" w:rsidRDefault="00E10E61" w:rsidP="00E10E61">
      <w:pPr>
        <w:rPr>
          <w:sz w:val="22"/>
          <w:szCs w:val="22"/>
          <w:lang w:val="en-GB"/>
        </w:rPr>
      </w:pPr>
      <w:r w:rsidRPr="00A245E7">
        <w:rPr>
          <w:sz w:val="22"/>
          <w:szCs w:val="22"/>
          <w:lang w:val="en-GB"/>
        </w:rPr>
        <w:t xml:space="preserve">The IAOS Executive Committee has reviewed the </w:t>
      </w:r>
      <w:r w:rsidR="00BF1471">
        <w:rPr>
          <w:sz w:val="22"/>
          <w:szCs w:val="22"/>
          <w:lang w:val="en-GB"/>
        </w:rPr>
        <w:t xml:space="preserve">attached version of the </w:t>
      </w:r>
      <w:r w:rsidRPr="00A245E7">
        <w:rPr>
          <w:sz w:val="22"/>
          <w:szCs w:val="22"/>
          <w:lang w:val="en-GB"/>
        </w:rPr>
        <w:t>updated statutes and support the changes.</w:t>
      </w:r>
    </w:p>
    <w:p w14:paraId="595F72AE" w14:textId="6464AFF4" w:rsidR="00E10E61" w:rsidRDefault="00E10E61" w:rsidP="00E10E61">
      <w:pPr>
        <w:rPr>
          <w:sz w:val="22"/>
          <w:szCs w:val="22"/>
          <w:lang w:val="en-GB"/>
        </w:rPr>
      </w:pPr>
      <w:r w:rsidRPr="00A245E7">
        <w:rPr>
          <w:sz w:val="22"/>
          <w:szCs w:val="22"/>
          <w:lang w:val="en-GB"/>
        </w:rPr>
        <w:lastRenderedPageBreak/>
        <w:t xml:space="preserve">As the ISI is undertaking member consultation on the proposed new ISI Statutes, the </w:t>
      </w:r>
      <w:r w:rsidR="00A245E7" w:rsidRPr="00A245E7">
        <w:rPr>
          <w:sz w:val="22"/>
          <w:szCs w:val="22"/>
          <w:lang w:val="en-GB"/>
        </w:rPr>
        <w:t>IAOS Executive Committee</w:t>
      </w:r>
      <w:r w:rsidRPr="00A245E7">
        <w:rPr>
          <w:sz w:val="22"/>
          <w:szCs w:val="22"/>
          <w:lang w:val="en-GB"/>
        </w:rPr>
        <w:t xml:space="preserve"> have</w:t>
      </w:r>
      <w:r w:rsidR="00A245E7" w:rsidRPr="00A245E7">
        <w:rPr>
          <w:sz w:val="22"/>
          <w:szCs w:val="22"/>
          <w:lang w:val="en-GB"/>
        </w:rPr>
        <w:t xml:space="preserve"> agreed that it is appropriate that IAOS members have a fu</w:t>
      </w:r>
      <w:r w:rsidR="00BF1471">
        <w:rPr>
          <w:sz w:val="22"/>
          <w:szCs w:val="22"/>
          <w:lang w:val="en-GB"/>
        </w:rPr>
        <w:t>r</w:t>
      </w:r>
      <w:r w:rsidR="00A245E7" w:rsidRPr="00A245E7">
        <w:rPr>
          <w:sz w:val="22"/>
          <w:szCs w:val="22"/>
          <w:lang w:val="en-GB"/>
        </w:rPr>
        <w:t>ther opportunity to review the proposed new IAOS statutes.  This will ensure that IAOS members can see the new IAOS statutes in the fuller context.</w:t>
      </w:r>
    </w:p>
    <w:p w14:paraId="72BD1F63" w14:textId="569A65BB" w:rsidR="00BF1471" w:rsidRDefault="00BF1471" w:rsidP="00E10E61">
      <w:pPr>
        <w:rPr>
          <w:sz w:val="22"/>
          <w:szCs w:val="22"/>
          <w:lang w:val="en-GB"/>
        </w:rPr>
      </w:pPr>
      <w:r>
        <w:rPr>
          <w:sz w:val="22"/>
          <w:szCs w:val="22"/>
          <w:lang w:val="en-GB"/>
        </w:rPr>
        <w:t>IAOS members are therefore asked to provide feedback on the attached statutes by July 19 2025.  This will then allow any further member feedback to be included in the final version that will be submitted, as per the 201</w:t>
      </w:r>
      <w:r w:rsidR="00414F76">
        <w:rPr>
          <w:sz w:val="22"/>
          <w:szCs w:val="22"/>
          <w:lang w:val="en-GB"/>
        </w:rPr>
        <w:t>3</w:t>
      </w:r>
      <w:r>
        <w:rPr>
          <w:sz w:val="22"/>
          <w:szCs w:val="22"/>
          <w:lang w:val="en-GB"/>
        </w:rPr>
        <w:t xml:space="preserve"> statutes,  for formal Member opinion in early August 2025.</w:t>
      </w:r>
    </w:p>
    <w:p w14:paraId="04305B3D" w14:textId="6B990BA9" w:rsidR="00BF1471" w:rsidRDefault="00BF1471" w:rsidP="00E10E61">
      <w:pPr>
        <w:rPr>
          <w:sz w:val="22"/>
          <w:szCs w:val="22"/>
          <w:lang w:val="en-GB"/>
        </w:rPr>
      </w:pPr>
      <w:r>
        <w:rPr>
          <w:sz w:val="22"/>
          <w:szCs w:val="22"/>
          <w:lang w:val="en-GB"/>
        </w:rPr>
        <w:t>Subject to formal member agreement, the August version will then be submitted to the 2025 IAOS General Assembly to be held on 9 October, during the WSC.</w:t>
      </w:r>
    </w:p>
    <w:p w14:paraId="7615DE01" w14:textId="3A7AE61D" w:rsidR="00BF1471" w:rsidRDefault="00277E8B" w:rsidP="00E10E61">
      <w:pPr>
        <w:rPr>
          <w:sz w:val="22"/>
          <w:szCs w:val="22"/>
          <w:lang w:val="en-GB"/>
        </w:rPr>
      </w:pPr>
      <w:r w:rsidRPr="00277E8B">
        <w:rPr>
          <w:b/>
          <w:bCs/>
          <w:sz w:val="22"/>
          <w:szCs w:val="22"/>
          <w:lang w:val="en-GB"/>
        </w:rPr>
        <w:t>Feedback</w:t>
      </w:r>
      <w:r>
        <w:rPr>
          <w:sz w:val="22"/>
          <w:szCs w:val="22"/>
          <w:lang w:val="en-GB"/>
        </w:rPr>
        <w:t xml:space="preserve"> </w:t>
      </w:r>
      <w:r w:rsidR="00BF1471">
        <w:rPr>
          <w:sz w:val="22"/>
          <w:szCs w:val="22"/>
          <w:lang w:val="en-GB"/>
        </w:rPr>
        <w:t xml:space="preserve"> should be sent to</w:t>
      </w:r>
    </w:p>
    <w:p w14:paraId="3364085A" w14:textId="2614F270" w:rsidR="00BF1471" w:rsidRDefault="00BF1471" w:rsidP="00E10E61">
      <w:pPr>
        <w:rPr>
          <w:sz w:val="22"/>
          <w:szCs w:val="22"/>
          <w:lang w:val="en-GB"/>
        </w:rPr>
      </w:pPr>
      <w:r>
        <w:rPr>
          <w:sz w:val="22"/>
          <w:szCs w:val="22"/>
          <w:lang w:val="en-GB"/>
        </w:rPr>
        <w:t xml:space="preserve">Nancyemcbeth@ gmail.com and </w:t>
      </w:r>
      <w:hyperlink r:id="rId6" w:history="1">
        <w:r w:rsidRPr="00AE1CCC">
          <w:rPr>
            <w:rStyle w:val="Hipercze"/>
            <w:sz w:val="22"/>
            <w:szCs w:val="22"/>
            <w:lang w:val="en-GB"/>
          </w:rPr>
          <w:t>contactIAOS@gmail.com</w:t>
        </w:r>
      </w:hyperlink>
      <w:r>
        <w:rPr>
          <w:sz w:val="22"/>
          <w:szCs w:val="22"/>
          <w:lang w:val="en-GB"/>
        </w:rPr>
        <w:t xml:space="preserve">.  The closing date is July 19 2025. </w:t>
      </w:r>
    </w:p>
    <w:p w14:paraId="5448F929" w14:textId="77777777" w:rsidR="00BF1471" w:rsidRDefault="00BF1471" w:rsidP="00E10E61">
      <w:pPr>
        <w:rPr>
          <w:sz w:val="22"/>
          <w:szCs w:val="22"/>
          <w:lang w:val="en-GB"/>
        </w:rPr>
      </w:pPr>
    </w:p>
    <w:p w14:paraId="6048C2C1" w14:textId="77777777" w:rsidR="00EB1DC0" w:rsidRDefault="00EB1DC0" w:rsidP="00E10E61">
      <w:pPr>
        <w:rPr>
          <w:sz w:val="22"/>
          <w:szCs w:val="22"/>
          <w:lang w:val="en-GB"/>
        </w:rPr>
      </w:pPr>
      <w:r>
        <w:rPr>
          <w:sz w:val="22"/>
          <w:szCs w:val="22"/>
          <w:lang w:val="en-GB"/>
        </w:rPr>
        <w:t>Many thanks</w:t>
      </w:r>
    </w:p>
    <w:p w14:paraId="3E407F6C" w14:textId="77777777" w:rsidR="00EB1DC0" w:rsidRDefault="00EB1DC0" w:rsidP="00E10E61">
      <w:pPr>
        <w:rPr>
          <w:sz w:val="22"/>
          <w:szCs w:val="22"/>
          <w:lang w:val="en-GB"/>
        </w:rPr>
      </w:pPr>
    </w:p>
    <w:p w14:paraId="180BD7A7" w14:textId="626455E8" w:rsidR="00BF1471" w:rsidRDefault="00BF1471" w:rsidP="00E10E61">
      <w:pPr>
        <w:rPr>
          <w:sz w:val="22"/>
          <w:szCs w:val="22"/>
          <w:lang w:val="en-GB"/>
        </w:rPr>
      </w:pPr>
      <w:r>
        <w:rPr>
          <w:sz w:val="22"/>
          <w:szCs w:val="22"/>
          <w:lang w:val="en-GB"/>
        </w:rPr>
        <w:t>Dominik Rozkrut</w:t>
      </w:r>
    </w:p>
    <w:p w14:paraId="2A3A3A07" w14:textId="3F23E74C" w:rsidR="00BF1471" w:rsidRPr="00A245E7" w:rsidRDefault="00BF1471" w:rsidP="00E10E61">
      <w:pPr>
        <w:rPr>
          <w:sz w:val="22"/>
          <w:szCs w:val="22"/>
          <w:lang w:val="en-GB"/>
        </w:rPr>
      </w:pPr>
      <w:r>
        <w:rPr>
          <w:sz w:val="22"/>
          <w:szCs w:val="22"/>
          <w:lang w:val="en-GB"/>
        </w:rPr>
        <w:t>IAOS President 2023 -2025</w:t>
      </w:r>
    </w:p>
    <w:sectPr w:rsidR="00BF1471" w:rsidRPr="00A245E7" w:rsidSect="00C1373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3348A"/>
    <w:multiLevelType w:val="hybridMultilevel"/>
    <w:tmpl w:val="B4B643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F440AC7"/>
    <w:multiLevelType w:val="hybridMultilevel"/>
    <w:tmpl w:val="6B5E5A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61"/>
    <w:rsid w:val="002034F0"/>
    <w:rsid w:val="00277E8B"/>
    <w:rsid w:val="00414F76"/>
    <w:rsid w:val="005F279E"/>
    <w:rsid w:val="006461FD"/>
    <w:rsid w:val="00A245E7"/>
    <w:rsid w:val="00AA1AAC"/>
    <w:rsid w:val="00BF1471"/>
    <w:rsid w:val="00C13733"/>
    <w:rsid w:val="00E10E61"/>
    <w:rsid w:val="00EA677D"/>
    <w:rsid w:val="00EB1DC0"/>
    <w:rsid w:val="00EC38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D537"/>
  <w15:chartTrackingRefBased/>
  <w15:docId w15:val="{23830F94-2126-4535-9A06-B17B9268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0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E10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0E6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0E6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0E6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0E6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0E6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0E6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0E6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0E6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E10E6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0E6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0E6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0E6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0E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0E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0E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0E61"/>
    <w:rPr>
      <w:rFonts w:eastAsiaTheme="majorEastAsia" w:cstheme="majorBidi"/>
      <w:color w:val="272727" w:themeColor="text1" w:themeTint="D8"/>
    </w:rPr>
  </w:style>
  <w:style w:type="paragraph" w:styleId="Tytu">
    <w:name w:val="Title"/>
    <w:basedOn w:val="Normalny"/>
    <w:next w:val="Normalny"/>
    <w:link w:val="TytuZnak"/>
    <w:uiPriority w:val="10"/>
    <w:qFormat/>
    <w:rsid w:val="00E10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0E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0E6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0E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0E61"/>
    <w:pPr>
      <w:spacing w:before="160"/>
      <w:jc w:val="center"/>
    </w:pPr>
    <w:rPr>
      <w:i/>
      <w:iCs/>
      <w:color w:val="404040" w:themeColor="text1" w:themeTint="BF"/>
    </w:rPr>
  </w:style>
  <w:style w:type="character" w:customStyle="1" w:styleId="CytatZnak">
    <w:name w:val="Cytat Znak"/>
    <w:basedOn w:val="Domylnaczcionkaakapitu"/>
    <w:link w:val="Cytat"/>
    <w:uiPriority w:val="29"/>
    <w:rsid w:val="00E10E61"/>
    <w:rPr>
      <w:i/>
      <w:iCs/>
      <w:color w:val="404040" w:themeColor="text1" w:themeTint="BF"/>
    </w:rPr>
  </w:style>
  <w:style w:type="paragraph" w:styleId="Akapitzlist">
    <w:name w:val="List Paragraph"/>
    <w:basedOn w:val="Normalny"/>
    <w:uiPriority w:val="34"/>
    <w:qFormat/>
    <w:rsid w:val="00E10E61"/>
    <w:pPr>
      <w:ind w:left="720"/>
      <w:contextualSpacing/>
    </w:pPr>
  </w:style>
  <w:style w:type="character" w:styleId="Wyrnienieintensywne">
    <w:name w:val="Intense Emphasis"/>
    <w:basedOn w:val="Domylnaczcionkaakapitu"/>
    <w:uiPriority w:val="21"/>
    <w:qFormat/>
    <w:rsid w:val="00E10E61"/>
    <w:rPr>
      <w:i/>
      <w:iCs/>
      <w:color w:val="0F4761" w:themeColor="accent1" w:themeShade="BF"/>
    </w:rPr>
  </w:style>
  <w:style w:type="paragraph" w:styleId="Cytatintensywny">
    <w:name w:val="Intense Quote"/>
    <w:basedOn w:val="Normalny"/>
    <w:next w:val="Normalny"/>
    <w:link w:val="CytatintensywnyZnak"/>
    <w:uiPriority w:val="30"/>
    <w:qFormat/>
    <w:rsid w:val="00E10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0E61"/>
    <w:rPr>
      <w:i/>
      <w:iCs/>
      <w:color w:val="0F4761" w:themeColor="accent1" w:themeShade="BF"/>
    </w:rPr>
  </w:style>
  <w:style w:type="character" w:styleId="Odwoanieintensywne">
    <w:name w:val="Intense Reference"/>
    <w:basedOn w:val="Domylnaczcionkaakapitu"/>
    <w:uiPriority w:val="32"/>
    <w:qFormat/>
    <w:rsid w:val="00E10E61"/>
    <w:rPr>
      <w:b/>
      <w:bCs/>
      <w:smallCaps/>
      <w:color w:val="0F4761" w:themeColor="accent1" w:themeShade="BF"/>
      <w:spacing w:val="5"/>
    </w:rPr>
  </w:style>
  <w:style w:type="character" w:styleId="Hipercze">
    <w:name w:val="Hyperlink"/>
    <w:basedOn w:val="Domylnaczcionkaakapitu"/>
    <w:uiPriority w:val="99"/>
    <w:unhideWhenUsed/>
    <w:rsid w:val="00BF1471"/>
    <w:rPr>
      <w:color w:val="467886" w:themeColor="hyperlink"/>
      <w:u w:val="single"/>
    </w:rPr>
  </w:style>
  <w:style w:type="character" w:styleId="Nierozpoznanawzmianka">
    <w:name w:val="Unresolved Mention"/>
    <w:basedOn w:val="Domylnaczcionkaakapitu"/>
    <w:uiPriority w:val="99"/>
    <w:semiHidden/>
    <w:unhideWhenUsed/>
    <w:rsid w:val="00BF1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49923">
      <w:bodyDiv w:val="1"/>
      <w:marLeft w:val="0"/>
      <w:marRight w:val="0"/>
      <w:marTop w:val="0"/>
      <w:marBottom w:val="0"/>
      <w:divBdr>
        <w:top w:val="none" w:sz="0" w:space="0" w:color="auto"/>
        <w:left w:val="none" w:sz="0" w:space="0" w:color="auto"/>
        <w:bottom w:val="none" w:sz="0" w:space="0" w:color="auto"/>
        <w:right w:val="none" w:sz="0" w:space="0" w:color="auto"/>
      </w:divBdr>
    </w:div>
    <w:div w:id="19647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IAO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2890</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McBeth</dc:creator>
  <cp:keywords/>
  <dc:description/>
  <cp:lastModifiedBy>Bandurska Ewa</cp:lastModifiedBy>
  <cp:revision>2</cp:revision>
  <dcterms:created xsi:type="dcterms:W3CDTF">2025-07-07T12:40:00Z</dcterms:created>
  <dcterms:modified xsi:type="dcterms:W3CDTF">2025-07-07T12:40:00Z</dcterms:modified>
</cp:coreProperties>
</file>